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29EF" w14:textId="77777777" w:rsidR="00A75338" w:rsidRPr="001774A7" w:rsidRDefault="00A75338" w:rsidP="00A75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774A7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Consensus of Damage Control 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urgery</w:t>
      </w:r>
    </w:p>
    <w:p w14:paraId="08728421" w14:textId="77777777" w:rsidR="00A75338" w:rsidRPr="001774A7" w:rsidRDefault="00A75338" w:rsidP="00A75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C439259" w14:textId="77777777" w:rsidR="00A75338" w:rsidRPr="001774A7" w:rsidRDefault="00A75338" w:rsidP="00A75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7522830" w14:textId="77777777" w:rsidR="00A75338" w:rsidRPr="00CE7C76" w:rsidRDefault="00A75338" w:rsidP="00A75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A9A">
        <w:rPr>
          <w:rFonts w:ascii="Arial" w:eastAsia="Times New Roman" w:hAnsi="Arial" w:cs="Arial"/>
          <w:color w:val="222222"/>
          <w:sz w:val="24"/>
          <w:szCs w:val="24"/>
        </w:rPr>
        <w:t>This consensus of Damage C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ontrol Surgery summarizes the experience earned during the past 30 years in trauma critical care management of the severely injured patient from Trauma and Emergency Surgery Group (CTE) of Cali-Colombia and the collaboration of Pan-American Trauma Society, Colombian Surgery Association, and international specialists of the United States of America, Europe, Japan, South Africa and Latin American. </w:t>
      </w:r>
      <w:bookmarkStart w:id="0" w:name="_Hlk48809100"/>
    </w:p>
    <w:bookmarkEnd w:id="0"/>
    <w:p w14:paraId="65DC9AB1" w14:textId="77777777" w:rsidR="00A75338" w:rsidRPr="000E5A9A" w:rsidRDefault="00A75338" w:rsidP="00A75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B276FA9" w14:textId="77777777" w:rsidR="00A75338" w:rsidRPr="000E5A9A" w:rsidRDefault="00A75338" w:rsidP="00A75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2F38DCC" w14:textId="77777777" w:rsidR="00A75338" w:rsidRPr="000E5A9A" w:rsidRDefault="00A75338" w:rsidP="00A753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</w:p>
    <w:p w14:paraId="24939810" w14:textId="77777777" w:rsidR="00A75338" w:rsidRPr="0033525E" w:rsidRDefault="00A75338" w:rsidP="00A75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Arial" w:eastAsia="Times New Roman" w:hAnsi="Arial" w:cs="Arial"/>
          <w:b/>
          <w:bCs/>
          <w:color w:val="222222"/>
          <w:sz w:val="24"/>
          <w:szCs w:val="24"/>
        </w:rPr>
        <w:t>Editorial:</w:t>
      </w:r>
    </w:p>
    <w:p w14:paraId="4D3D6631" w14:textId="77777777" w:rsidR="00A75338" w:rsidRDefault="00A75338" w:rsidP="00A75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Arial" w:eastAsia="Times New Roman" w:hAnsi="Arial" w:cs="Arial"/>
          <w:color w:val="222222"/>
          <w:sz w:val="24"/>
          <w:szCs w:val="24"/>
        </w:rPr>
        <w:t>Damage control surgery: a constant evolution:</w:t>
      </w:r>
    </w:p>
    <w:p w14:paraId="47865179" w14:textId="77777777" w:rsidR="00A75338" w:rsidRPr="0033525E" w:rsidRDefault="00A75338" w:rsidP="00A7533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33525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https://pubmed.ncbi.nlm.nih.gov/33795895/</w:t>
        </w:r>
      </w:hyperlink>
    </w:p>
    <w:p w14:paraId="06F06979" w14:textId="77777777" w:rsidR="00A75338" w:rsidRPr="0033525E" w:rsidRDefault="00A75338" w:rsidP="00A75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</w:p>
    <w:p w14:paraId="500B0A9E" w14:textId="77777777" w:rsidR="00A75338" w:rsidRPr="0033525E" w:rsidRDefault="00A75338" w:rsidP="00A75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Arial" w:eastAsia="Times New Roman" w:hAnsi="Arial" w:cs="Arial"/>
          <w:b/>
          <w:bCs/>
          <w:color w:val="222222"/>
          <w:sz w:val="24"/>
          <w:szCs w:val="24"/>
        </w:rPr>
        <w:t>Articles:</w:t>
      </w:r>
    </w:p>
    <w:p w14:paraId="52A32A10" w14:textId="77777777" w:rsidR="00A75338" w:rsidRDefault="00A75338" w:rsidP="00A753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Arial" w:eastAsia="Times New Roman" w:hAnsi="Arial" w:cs="Arial"/>
          <w:color w:val="222222"/>
          <w:sz w:val="24"/>
          <w:szCs w:val="24"/>
        </w:rPr>
        <w:t>Damage control resuscitation: REBOA as the new fourth pillar: </w:t>
      </w:r>
    </w:p>
    <w:p w14:paraId="58917969" w14:textId="77777777" w:rsidR="00A75338" w:rsidRPr="0033525E" w:rsidRDefault="00A75338" w:rsidP="00A75338">
      <w:pPr>
        <w:pStyle w:val="ListParagraph"/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https://pubmed.ncbi.nlm.nih.gov/33795897/</w:t>
        </w:r>
      </w:hyperlink>
    </w:p>
    <w:p w14:paraId="5FEB8390" w14:textId="77777777" w:rsidR="00A75338" w:rsidRDefault="00A75338" w:rsidP="00A753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Arial" w:eastAsia="Times New Roman" w:hAnsi="Arial" w:cs="Arial"/>
          <w:color w:val="222222"/>
          <w:sz w:val="24"/>
          <w:szCs w:val="24"/>
        </w:rPr>
        <w:t>Prehospital Damage Control: The Management of Volume, Temperature… and Bleeding! </w:t>
      </w:r>
    </w:p>
    <w:p w14:paraId="69232405" w14:textId="77777777" w:rsidR="00A75338" w:rsidRDefault="00A75338" w:rsidP="00A75338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7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https://pubmed.ncbi.nlm.nih.gov/33795898/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3.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>Whole blood for blood loss: hemostatic resuscitation in damage control: </w:t>
      </w:r>
    </w:p>
    <w:p w14:paraId="0429C590" w14:textId="77777777" w:rsidR="00A75338" w:rsidRDefault="00A75338" w:rsidP="00A75338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8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https://pubmed.ncbi.nlm.nih.gov/33795899/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4.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 xml:space="preserve">Whole-body computed tomography is safe, effective and efficient in the severely injured hemodynamically unstable trauma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>atient</w:t>
      </w:r>
      <w:proofErr w:type="gramEnd"/>
      <w:r w:rsidRPr="0033525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18CCE73" w14:textId="77777777" w:rsidR="00A75338" w:rsidRDefault="00A75338" w:rsidP="00A75338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9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https://pubmed.ncbi.nlm.nih.gov/33795900/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5.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 xml:space="preserve">REBOA as a New Damage Control Component in Hemodynamically Unstable Noncompressible Torso Hemorrhage </w:t>
      </w:r>
      <w:r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>atients </w:t>
      </w:r>
    </w:p>
    <w:p w14:paraId="21D8E0E7" w14:textId="77777777" w:rsidR="00A75338" w:rsidRDefault="00A75338" w:rsidP="00A75338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10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https://pubmed.ncbi.nlm.nih.gov/33795901/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6.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 xml:space="preserve">Damage control of laryngotracheal trauma: the golden </w:t>
      </w: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>ay </w:t>
      </w:r>
    </w:p>
    <w:p w14:paraId="1838D091" w14:textId="77777777" w:rsidR="00A75338" w:rsidRDefault="00A75338" w:rsidP="00A75338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11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https://pubmed.ncbi.nlm.nih.gov/33795902/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7.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 xml:space="preserve">Pancreatic damage control: the pancreas is simple don't complicate </w:t>
      </w:r>
      <w:proofErr w:type="gramStart"/>
      <w:r w:rsidRPr="0033525E">
        <w:rPr>
          <w:rFonts w:ascii="Arial" w:eastAsia="Times New Roman" w:hAnsi="Arial" w:cs="Arial"/>
          <w:color w:val="222222"/>
          <w:sz w:val="24"/>
          <w:szCs w:val="24"/>
        </w:rPr>
        <w:t>it</w:t>
      </w:r>
      <w:proofErr w:type="gramEnd"/>
    </w:p>
    <w:p w14:paraId="56A60B90" w14:textId="77777777" w:rsidR="00A75338" w:rsidRDefault="00A75338" w:rsidP="00A75338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r w:rsidRPr="0033525E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12" w:tgtFrame="_blank" w:history="1">
        <w:r w:rsidRPr="0033525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https://pubmed.ncbi.nlm.nih.gov/33795904/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8.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>Damage Control in Penetrating Liver Trauma: Fear of the Unknown </w:t>
      </w:r>
    </w:p>
    <w:p w14:paraId="3B1678B1" w14:textId="77777777" w:rsidR="00A75338" w:rsidRDefault="00A75338" w:rsidP="00A75338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13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https://pubmed.ncbi.nlm.nih.gov/33795903/</w:t>
        </w:r>
      </w:hyperlink>
      <w:r w:rsidRPr="0033525E">
        <w:rPr>
          <w:rFonts w:ascii="Arial" w:eastAsia="Times New Roman" w:hAnsi="Arial" w:cs="Arial"/>
          <w:color w:val="222222"/>
          <w:sz w:val="24"/>
          <w:szCs w:val="24"/>
        </w:rPr>
        <w:br/>
        <w:t>9.</w:t>
      </w:r>
      <w:r w:rsidRPr="0033525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33525E">
        <w:rPr>
          <w:rFonts w:ascii="Arial" w:eastAsia="Times New Roman" w:hAnsi="Arial" w:cs="Arial"/>
          <w:color w:val="222222"/>
          <w:sz w:val="24"/>
          <w:szCs w:val="24"/>
        </w:rPr>
        <w:t>Hemodynamically unstable pelvic fracture: A damage control surgical algorithm that fits your reality: </w:t>
      </w:r>
    </w:p>
    <w:p w14:paraId="6820EEEC" w14:textId="77777777" w:rsidR="00A75338" w:rsidRPr="0033525E" w:rsidRDefault="00A75338" w:rsidP="00A75338">
      <w:pPr>
        <w:pStyle w:val="ListParagraph"/>
        <w:shd w:val="clear" w:color="auto" w:fill="FFFFFF"/>
        <w:spacing w:before="100" w:beforeAutospacing="1" w:after="100" w:afterAutospacing="1" w:line="240" w:lineRule="auto"/>
        <w:ind w:left="0" w:firstLine="450"/>
        <w:rPr>
          <w:rFonts w:ascii="Arial" w:eastAsia="Times New Roman" w:hAnsi="Arial" w:cs="Arial"/>
          <w:color w:val="222222"/>
          <w:sz w:val="24"/>
          <w:szCs w:val="24"/>
        </w:rPr>
      </w:pPr>
      <w:hyperlink r:id="rId14" w:history="1">
        <w:r w:rsidRPr="00955831">
          <w:rPr>
            <w:rStyle w:val="Hyperlink"/>
            <w:rFonts w:ascii="Arial" w:eastAsia="Times New Roman" w:hAnsi="Arial" w:cs="Arial"/>
            <w:sz w:val="24"/>
            <w:szCs w:val="24"/>
          </w:rPr>
          <w:t>https://pubmed.ncbi.nlm.nih.gov/33795905/</w:t>
        </w:r>
      </w:hyperlink>
    </w:p>
    <w:p w14:paraId="258A2A5B" w14:textId="77777777" w:rsidR="003F6BAE" w:rsidRDefault="003F6BAE">
      <w:pPr>
        <w:ind w:firstLine="110"/>
      </w:pPr>
    </w:p>
    <w:sectPr w:rsidR="003F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216"/>
    <w:multiLevelType w:val="hybridMultilevel"/>
    <w:tmpl w:val="C986AB16"/>
    <w:lvl w:ilvl="0" w:tplc="160C32C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38"/>
    <w:rsid w:val="003F6BAE"/>
    <w:rsid w:val="00A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5246"/>
  <w15:chartTrackingRefBased/>
  <w15:docId w15:val="{A698AAC6-750B-491D-9E9F-459CE7BC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338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3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795899/" TargetMode="External"/><Relationship Id="rId13" Type="http://schemas.openxmlformats.org/officeDocument/2006/relationships/hyperlink" Target="https://pubmed.ncbi.nlm.nih.gov/337959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3795898/" TargetMode="External"/><Relationship Id="rId12" Type="http://schemas.openxmlformats.org/officeDocument/2006/relationships/hyperlink" Target="https://pubmed.ncbi.nlm.nih.gov/3379590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3795897/" TargetMode="External"/><Relationship Id="rId11" Type="http://schemas.openxmlformats.org/officeDocument/2006/relationships/hyperlink" Target="https://pubmed.ncbi.nlm.nih.gov/33795902/" TargetMode="External"/><Relationship Id="rId5" Type="http://schemas.openxmlformats.org/officeDocument/2006/relationships/hyperlink" Target="https://pubmed.ncbi.nlm.nih.gov/3379589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337959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3795900/" TargetMode="External"/><Relationship Id="rId14" Type="http://schemas.openxmlformats.org/officeDocument/2006/relationships/hyperlink" Target="https://pubmed.ncbi.nlm.nih.gov/337959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</dc:creator>
  <cp:keywords/>
  <dc:description/>
  <cp:lastModifiedBy>Scarlet</cp:lastModifiedBy>
  <cp:revision>1</cp:revision>
  <dcterms:created xsi:type="dcterms:W3CDTF">2021-04-15T17:57:00Z</dcterms:created>
  <dcterms:modified xsi:type="dcterms:W3CDTF">2021-04-15T17:58:00Z</dcterms:modified>
</cp:coreProperties>
</file>