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E07" w:rsidRPr="00BB4781" w:rsidRDefault="00BB4781" w:rsidP="00BB4781">
      <w:pPr>
        <w:jc w:val="center"/>
        <w:rPr>
          <w:b/>
          <w:sz w:val="20"/>
          <w:szCs w:val="20"/>
        </w:rPr>
      </w:pPr>
      <w:r w:rsidRPr="00BB4781">
        <w:rPr>
          <w:b/>
          <w:sz w:val="20"/>
          <w:szCs w:val="20"/>
        </w:rPr>
        <w:t>TRAUMA REGISTRY DATA ENTRY INCLUSION AND EXCLUSION CRITERIA</w:t>
      </w:r>
    </w:p>
    <w:p w:rsidR="00BB4781" w:rsidRPr="00BB4781" w:rsidRDefault="00BB4781" w:rsidP="00BB4781">
      <w:pPr>
        <w:jc w:val="center"/>
        <w:rPr>
          <w:b/>
          <w:sz w:val="20"/>
          <w:szCs w:val="20"/>
        </w:rPr>
      </w:pPr>
    </w:p>
    <w:p w:rsidR="00694444" w:rsidRPr="00BB4781" w:rsidRDefault="00BA7E07">
      <w:pPr>
        <w:rPr>
          <w:sz w:val="20"/>
          <w:szCs w:val="20"/>
        </w:rPr>
      </w:pPr>
      <w:r w:rsidRPr="00BB4781">
        <w:rPr>
          <w:sz w:val="20"/>
          <w:szCs w:val="20"/>
        </w:rPr>
        <w:t>The following criteria are used by trauma centers in order to ensure consistent data collection for the National Trauma Data Standard, the United States Trauma Data Standards. These criteria may be used as a guide for selecting patients that will be entered into the trauma registry.</w:t>
      </w:r>
    </w:p>
    <w:p w:rsidR="00BA7E07" w:rsidRPr="00BB4781" w:rsidRDefault="00BA7E07">
      <w:pPr>
        <w:rPr>
          <w:sz w:val="20"/>
          <w:szCs w:val="20"/>
        </w:rPr>
      </w:pPr>
    </w:p>
    <w:p w:rsidR="00BA7E07" w:rsidRPr="00BB4781" w:rsidRDefault="00BA7E07" w:rsidP="00BA7E07">
      <w:pPr>
        <w:rPr>
          <w:sz w:val="20"/>
          <w:szCs w:val="20"/>
        </w:rPr>
      </w:pPr>
      <w:r w:rsidRPr="00BB4781">
        <w:rPr>
          <w:sz w:val="20"/>
          <w:szCs w:val="20"/>
        </w:rPr>
        <w:t>A trauma patient is defined as an individual who has suffered a traumatic injury and who meets the following criteria:</w:t>
      </w:r>
    </w:p>
    <w:p w:rsidR="00BA7E07" w:rsidRPr="00BB4781" w:rsidRDefault="00BA7E07" w:rsidP="00BA7E07">
      <w:pPr>
        <w:rPr>
          <w:sz w:val="20"/>
          <w:szCs w:val="20"/>
        </w:rPr>
      </w:pPr>
    </w:p>
    <w:p w:rsidR="00BA7E07" w:rsidRPr="00BB4781" w:rsidRDefault="00BA7E07" w:rsidP="00BA7E07">
      <w:pPr>
        <w:pStyle w:val="ListParagraph"/>
        <w:numPr>
          <w:ilvl w:val="0"/>
          <w:numId w:val="1"/>
        </w:numPr>
        <w:rPr>
          <w:sz w:val="20"/>
          <w:szCs w:val="20"/>
        </w:rPr>
      </w:pPr>
      <w:r w:rsidRPr="00BB4781">
        <w:rPr>
          <w:sz w:val="20"/>
          <w:szCs w:val="20"/>
        </w:rPr>
        <w:t>Patients with trauma injuries ADMITTED to the institution or those with a DISCHARGE from the institution where the registry is implemented, having at least one of the followin</w:t>
      </w:r>
      <w:r w:rsidRPr="00BB4781">
        <w:rPr>
          <w:sz w:val="20"/>
          <w:szCs w:val="20"/>
        </w:rPr>
        <w:t>g ICD 10 injury diagnosis codes:</w:t>
      </w:r>
    </w:p>
    <w:p w:rsidR="00BA7E07" w:rsidRPr="00BB4781" w:rsidRDefault="00BA7E07" w:rsidP="00BA7E07">
      <w:pPr>
        <w:pStyle w:val="ListParagraph"/>
        <w:rPr>
          <w:sz w:val="20"/>
          <w:szCs w:val="20"/>
        </w:rPr>
      </w:pPr>
    </w:p>
    <w:p w:rsidR="00BA7E07" w:rsidRPr="00BB4781" w:rsidRDefault="00BA7E07" w:rsidP="00BA7E07">
      <w:pPr>
        <w:pStyle w:val="ListParagraph"/>
        <w:numPr>
          <w:ilvl w:val="0"/>
          <w:numId w:val="3"/>
        </w:numPr>
        <w:rPr>
          <w:sz w:val="20"/>
          <w:szCs w:val="20"/>
        </w:rPr>
      </w:pPr>
      <w:r w:rsidRPr="00BB4781">
        <w:rPr>
          <w:sz w:val="20"/>
          <w:szCs w:val="20"/>
        </w:rPr>
        <w:t>S00-S99 with seventh character extensions of A, B, or C only. (Injuries to specific body parts – initial encounter)</w:t>
      </w:r>
    </w:p>
    <w:p w:rsidR="00BA7E07" w:rsidRPr="00BB4781" w:rsidRDefault="00BA7E07" w:rsidP="00BA7E07">
      <w:pPr>
        <w:pStyle w:val="ListParagraph"/>
        <w:numPr>
          <w:ilvl w:val="0"/>
          <w:numId w:val="3"/>
        </w:numPr>
        <w:rPr>
          <w:sz w:val="20"/>
          <w:szCs w:val="20"/>
        </w:rPr>
      </w:pPr>
      <w:r w:rsidRPr="00BB4781">
        <w:rPr>
          <w:sz w:val="20"/>
          <w:szCs w:val="20"/>
        </w:rPr>
        <w:t>T07 (unspecified multiple injuries)</w:t>
      </w:r>
    </w:p>
    <w:p w:rsidR="00BA7E07" w:rsidRPr="00BB4781" w:rsidRDefault="00BA7E07" w:rsidP="00BA7E07">
      <w:pPr>
        <w:pStyle w:val="ListParagraph"/>
        <w:numPr>
          <w:ilvl w:val="0"/>
          <w:numId w:val="3"/>
        </w:numPr>
        <w:rPr>
          <w:sz w:val="20"/>
          <w:szCs w:val="20"/>
        </w:rPr>
      </w:pPr>
      <w:r w:rsidRPr="00BB4781">
        <w:rPr>
          <w:sz w:val="20"/>
          <w:szCs w:val="20"/>
        </w:rPr>
        <w:t>T14 (injury of unspecified body region)</w:t>
      </w:r>
    </w:p>
    <w:p w:rsidR="00BA7E07" w:rsidRPr="00BB4781" w:rsidRDefault="00BA7E07" w:rsidP="00BA7E07">
      <w:pPr>
        <w:pStyle w:val="ListParagraph"/>
        <w:numPr>
          <w:ilvl w:val="0"/>
          <w:numId w:val="3"/>
        </w:numPr>
        <w:rPr>
          <w:sz w:val="20"/>
          <w:szCs w:val="20"/>
        </w:rPr>
      </w:pPr>
      <w:r w:rsidRPr="00BB4781">
        <w:rPr>
          <w:sz w:val="20"/>
          <w:szCs w:val="20"/>
        </w:rPr>
        <w:t>T20-T28 with seventh character extension of A only (burns by specific body parts – initial encounter)</w:t>
      </w:r>
    </w:p>
    <w:p w:rsidR="00BA7E07" w:rsidRPr="00BB4781" w:rsidRDefault="00BA7E07" w:rsidP="00BA7E07">
      <w:pPr>
        <w:pStyle w:val="ListParagraph"/>
        <w:numPr>
          <w:ilvl w:val="0"/>
          <w:numId w:val="3"/>
        </w:numPr>
        <w:rPr>
          <w:sz w:val="20"/>
          <w:szCs w:val="20"/>
        </w:rPr>
      </w:pPr>
      <w:r w:rsidRPr="00BB4781">
        <w:rPr>
          <w:sz w:val="20"/>
          <w:szCs w:val="20"/>
        </w:rPr>
        <w:t>T30-T32 (burn by total body surface area (TBSA) percentages)</w:t>
      </w:r>
    </w:p>
    <w:p w:rsidR="00BA7E07" w:rsidRPr="00BB4781" w:rsidRDefault="00BA7E07" w:rsidP="00BA7E07">
      <w:pPr>
        <w:pStyle w:val="ListParagraph"/>
        <w:numPr>
          <w:ilvl w:val="0"/>
          <w:numId w:val="3"/>
        </w:numPr>
        <w:rPr>
          <w:sz w:val="20"/>
          <w:szCs w:val="20"/>
        </w:rPr>
      </w:pPr>
      <w:r w:rsidRPr="00BB4781">
        <w:rPr>
          <w:sz w:val="20"/>
          <w:szCs w:val="20"/>
        </w:rPr>
        <w:t>T75.1 (drowning), T71 (asphyxiation), T75.4 (electrocution)</w:t>
      </w:r>
    </w:p>
    <w:p w:rsidR="00BA7E07" w:rsidRPr="00BB4781" w:rsidRDefault="00BA7E07" w:rsidP="00BA7E07">
      <w:pPr>
        <w:pStyle w:val="ListParagraph"/>
        <w:rPr>
          <w:sz w:val="20"/>
          <w:szCs w:val="20"/>
        </w:rPr>
      </w:pPr>
    </w:p>
    <w:p w:rsidR="00BA7E07" w:rsidRPr="00BB4781" w:rsidRDefault="00BA7E07" w:rsidP="00BA7E07">
      <w:pPr>
        <w:pStyle w:val="ListParagraph"/>
        <w:numPr>
          <w:ilvl w:val="0"/>
          <w:numId w:val="1"/>
        </w:numPr>
        <w:rPr>
          <w:sz w:val="20"/>
          <w:szCs w:val="20"/>
        </w:rPr>
      </w:pPr>
      <w:r w:rsidRPr="00BB4781">
        <w:rPr>
          <w:sz w:val="20"/>
          <w:szCs w:val="20"/>
        </w:rPr>
        <w:t xml:space="preserve">INCLUDE patients if </w:t>
      </w:r>
      <w:bookmarkStart w:id="0" w:name="_GoBack"/>
      <w:bookmarkEnd w:id="0"/>
      <w:r w:rsidRPr="00BB4781">
        <w:rPr>
          <w:sz w:val="20"/>
          <w:szCs w:val="20"/>
        </w:rPr>
        <w:t xml:space="preserve">the patient sustained at least one injury with a diagnostic code outside the range of S00, S10, S20, S30, S40, S50, S60, S70, S80, S90. The following isolated injuries should be excluded: </w:t>
      </w:r>
    </w:p>
    <w:p w:rsidR="00BA7E07" w:rsidRPr="00BB4781" w:rsidRDefault="00BA7E07" w:rsidP="00BA7E07">
      <w:pPr>
        <w:pStyle w:val="ListParagraph"/>
        <w:numPr>
          <w:ilvl w:val="0"/>
          <w:numId w:val="4"/>
        </w:numPr>
        <w:rPr>
          <w:sz w:val="20"/>
          <w:szCs w:val="20"/>
        </w:rPr>
      </w:pPr>
      <w:r w:rsidRPr="00BB4781">
        <w:rPr>
          <w:sz w:val="20"/>
          <w:szCs w:val="20"/>
        </w:rPr>
        <w:t>S00 (Superficial injuries of the head)</w:t>
      </w:r>
    </w:p>
    <w:p w:rsidR="00BA7E07" w:rsidRPr="00BB4781" w:rsidRDefault="00BA7E07" w:rsidP="00BA7E07">
      <w:pPr>
        <w:pStyle w:val="ListParagraph"/>
        <w:numPr>
          <w:ilvl w:val="0"/>
          <w:numId w:val="4"/>
        </w:numPr>
        <w:rPr>
          <w:sz w:val="20"/>
          <w:szCs w:val="20"/>
        </w:rPr>
      </w:pPr>
      <w:r w:rsidRPr="00BB4781">
        <w:rPr>
          <w:sz w:val="20"/>
          <w:szCs w:val="20"/>
        </w:rPr>
        <w:t>S10 (Superficial injuries of the neck)</w:t>
      </w:r>
    </w:p>
    <w:p w:rsidR="00BA7E07" w:rsidRPr="00BB4781" w:rsidRDefault="00BA7E07" w:rsidP="00BA7E07">
      <w:pPr>
        <w:pStyle w:val="ListParagraph"/>
        <w:numPr>
          <w:ilvl w:val="0"/>
          <w:numId w:val="4"/>
        </w:numPr>
        <w:rPr>
          <w:sz w:val="20"/>
          <w:szCs w:val="20"/>
        </w:rPr>
      </w:pPr>
      <w:r w:rsidRPr="00BB4781">
        <w:rPr>
          <w:sz w:val="20"/>
          <w:szCs w:val="20"/>
        </w:rPr>
        <w:t>S20 (Superficial injuries of the thorax)</w:t>
      </w:r>
    </w:p>
    <w:p w:rsidR="00BA7E07" w:rsidRPr="00BB4781" w:rsidRDefault="00BA7E07" w:rsidP="00BA7E07">
      <w:pPr>
        <w:pStyle w:val="ListParagraph"/>
        <w:numPr>
          <w:ilvl w:val="0"/>
          <w:numId w:val="4"/>
        </w:numPr>
        <w:rPr>
          <w:sz w:val="20"/>
          <w:szCs w:val="20"/>
        </w:rPr>
      </w:pPr>
      <w:r w:rsidRPr="00BB4781">
        <w:rPr>
          <w:sz w:val="20"/>
          <w:szCs w:val="20"/>
        </w:rPr>
        <w:t>S30 (Superficial injuries of the abdomen, pelvis, lower back and external genitals)</w:t>
      </w:r>
    </w:p>
    <w:p w:rsidR="00BA7E07" w:rsidRPr="00BB4781" w:rsidRDefault="00BA7E07" w:rsidP="00BA7E07">
      <w:pPr>
        <w:pStyle w:val="ListParagraph"/>
        <w:numPr>
          <w:ilvl w:val="0"/>
          <w:numId w:val="4"/>
        </w:numPr>
        <w:rPr>
          <w:sz w:val="20"/>
          <w:szCs w:val="20"/>
        </w:rPr>
      </w:pPr>
      <w:r w:rsidRPr="00BB4781">
        <w:rPr>
          <w:sz w:val="20"/>
          <w:szCs w:val="20"/>
        </w:rPr>
        <w:t>S40 (Superficial injuries of shoulder and upper arm)</w:t>
      </w:r>
    </w:p>
    <w:p w:rsidR="00BA7E07" w:rsidRPr="00BB4781" w:rsidRDefault="00BA7E07" w:rsidP="00BA7E07">
      <w:pPr>
        <w:pStyle w:val="ListParagraph"/>
        <w:numPr>
          <w:ilvl w:val="0"/>
          <w:numId w:val="4"/>
        </w:numPr>
        <w:rPr>
          <w:sz w:val="20"/>
          <w:szCs w:val="20"/>
        </w:rPr>
      </w:pPr>
      <w:r w:rsidRPr="00BB4781">
        <w:rPr>
          <w:sz w:val="20"/>
          <w:szCs w:val="20"/>
        </w:rPr>
        <w:t>S50 (Superficial injuries of elbow and forearm)</w:t>
      </w:r>
    </w:p>
    <w:p w:rsidR="00BA7E07" w:rsidRPr="00BB4781" w:rsidRDefault="00BA7E07" w:rsidP="00BA7E07">
      <w:pPr>
        <w:pStyle w:val="ListParagraph"/>
        <w:numPr>
          <w:ilvl w:val="0"/>
          <w:numId w:val="4"/>
        </w:numPr>
        <w:rPr>
          <w:sz w:val="20"/>
          <w:szCs w:val="20"/>
        </w:rPr>
      </w:pPr>
      <w:r w:rsidRPr="00BB4781">
        <w:rPr>
          <w:sz w:val="20"/>
          <w:szCs w:val="20"/>
        </w:rPr>
        <w:t>S60 (Superficial injuries of wrist, hand and fingers)</w:t>
      </w:r>
    </w:p>
    <w:p w:rsidR="00BA7E07" w:rsidRPr="00BB4781" w:rsidRDefault="00BA7E07" w:rsidP="00BA7E07">
      <w:pPr>
        <w:pStyle w:val="ListParagraph"/>
        <w:numPr>
          <w:ilvl w:val="0"/>
          <w:numId w:val="4"/>
        </w:numPr>
        <w:rPr>
          <w:sz w:val="20"/>
          <w:szCs w:val="20"/>
        </w:rPr>
      </w:pPr>
      <w:r w:rsidRPr="00BB4781">
        <w:rPr>
          <w:sz w:val="20"/>
          <w:szCs w:val="20"/>
        </w:rPr>
        <w:t>S70 (Superficial injuries of hip and thigh)</w:t>
      </w:r>
    </w:p>
    <w:p w:rsidR="00BA7E07" w:rsidRPr="00BB4781" w:rsidRDefault="00BA7E07" w:rsidP="00BA7E07">
      <w:pPr>
        <w:pStyle w:val="ListParagraph"/>
        <w:numPr>
          <w:ilvl w:val="0"/>
          <w:numId w:val="4"/>
        </w:numPr>
        <w:rPr>
          <w:sz w:val="20"/>
          <w:szCs w:val="20"/>
        </w:rPr>
      </w:pPr>
      <w:r w:rsidRPr="00BB4781">
        <w:rPr>
          <w:sz w:val="20"/>
          <w:szCs w:val="20"/>
        </w:rPr>
        <w:t>S80 (Superficial injuries of knee and lower leg)</w:t>
      </w:r>
    </w:p>
    <w:p w:rsidR="00BA7E07" w:rsidRPr="00BB4781" w:rsidRDefault="00BA7E07" w:rsidP="00BA7E07">
      <w:pPr>
        <w:pStyle w:val="ListParagraph"/>
        <w:numPr>
          <w:ilvl w:val="0"/>
          <w:numId w:val="4"/>
        </w:numPr>
        <w:rPr>
          <w:sz w:val="20"/>
          <w:szCs w:val="20"/>
        </w:rPr>
      </w:pPr>
      <w:r w:rsidRPr="00BB4781">
        <w:rPr>
          <w:sz w:val="20"/>
          <w:szCs w:val="20"/>
        </w:rPr>
        <w:t>S90 (Superficial injuries of ankle, foot and toes)</w:t>
      </w:r>
    </w:p>
    <w:p w:rsidR="00BA7E07" w:rsidRPr="00BB4781" w:rsidRDefault="00BA7E07" w:rsidP="00BA7E07">
      <w:pPr>
        <w:pStyle w:val="ListParagraph"/>
        <w:ind w:left="1440"/>
        <w:rPr>
          <w:sz w:val="20"/>
          <w:szCs w:val="20"/>
        </w:rPr>
      </w:pPr>
    </w:p>
    <w:p w:rsidR="00BA7E07" w:rsidRPr="00BB4781" w:rsidRDefault="00BA7E07" w:rsidP="00BA7E07">
      <w:pPr>
        <w:pStyle w:val="ListParagraph"/>
        <w:numPr>
          <w:ilvl w:val="0"/>
          <w:numId w:val="1"/>
        </w:numPr>
        <w:rPr>
          <w:sz w:val="20"/>
          <w:szCs w:val="20"/>
        </w:rPr>
      </w:pPr>
      <w:r w:rsidRPr="00BB4781">
        <w:rPr>
          <w:sz w:val="20"/>
          <w:szCs w:val="20"/>
        </w:rPr>
        <w:t>AND MUST INCLUDE ONE OF THE FOLLOWING IN ADDITION TO CODES FROM ITEM 1:</w:t>
      </w:r>
    </w:p>
    <w:p w:rsidR="00BA7E07" w:rsidRPr="00BB4781" w:rsidRDefault="00BA7E07" w:rsidP="00BA7E07">
      <w:pPr>
        <w:ind w:left="360"/>
        <w:rPr>
          <w:sz w:val="20"/>
          <w:szCs w:val="20"/>
        </w:rPr>
      </w:pPr>
    </w:p>
    <w:p w:rsidR="00BA7E07" w:rsidRPr="00BB4781" w:rsidRDefault="00BA7E07" w:rsidP="00BA7E07">
      <w:pPr>
        <w:pStyle w:val="ListParagraph"/>
        <w:numPr>
          <w:ilvl w:val="0"/>
          <w:numId w:val="5"/>
        </w:numPr>
        <w:rPr>
          <w:sz w:val="20"/>
          <w:szCs w:val="20"/>
        </w:rPr>
      </w:pPr>
      <w:r w:rsidRPr="00BB4781">
        <w:rPr>
          <w:sz w:val="20"/>
          <w:szCs w:val="20"/>
        </w:rPr>
        <w:t>Did the trauma injury result in death? (</w:t>
      </w:r>
      <w:r w:rsidRPr="00BB4781">
        <w:rPr>
          <w:sz w:val="20"/>
          <w:szCs w:val="20"/>
        </w:rPr>
        <w:t>Independent</w:t>
      </w:r>
      <w:r w:rsidRPr="00BB4781">
        <w:rPr>
          <w:sz w:val="20"/>
          <w:szCs w:val="20"/>
        </w:rPr>
        <w:t xml:space="preserve"> of the hospital admission or hospital referral status)</w:t>
      </w:r>
    </w:p>
    <w:p w:rsidR="00BA7E07" w:rsidRPr="00BB4781" w:rsidRDefault="00BA7E07" w:rsidP="00BA7E07">
      <w:pPr>
        <w:pStyle w:val="ListParagraph"/>
        <w:numPr>
          <w:ilvl w:val="0"/>
          <w:numId w:val="5"/>
        </w:numPr>
        <w:rPr>
          <w:sz w:val="20"/>
          <w:szCs w:val="20"/>
        </w:rPr>
      </w:pPr>
      <w:r w:rsidRPr="00BB4781">
        <w:rPr>
          <w:sz w:val="20"/>
          <w:szCs w:val="20"/>
        </w:rPr>
        <w:t xml:space="preserve">Was the patient transferred to your hospital from another hospital using an EMS service or air </w:t>
      </w:r>
      <w:r w:rsidRPr="00BB4781">
        <w:rPr>
          <w:sz w:val="20"/>
          <w:szCs w:val="20"/>
        </w:rPr>
        <w:t>ambulance?</w:t>
      </w:r>
    </w:p>
    <w:p w:rsidR="00BA7E07" w:rsidRPr="00BB4781" w:rsidRDefault="00BA7E07" w:rsidP="00BA7E07">
      <w:pPr>
        <w:pStyle w:val="ListParagraph"/>
        <w:numPr>
          <w:ilvl w:val="0"/>
          <w:numId w:val="5"/>
        </w:numPr>
        <w:rPr>
          <w:sz w:val="20"/>
          <w:szCs w:val="20"/>
        </w:rPr>
      </w:pPr>
      <w:r w:rsidRPr="00BB4781">
        <w:rPr>
          <w:sz w:val="20"/>
          <w:szCs w:val="20"/>
        </w:rPr>
        <w:t xml:space="preserve">Was the patient considered as a hospital admission according to YOUR specific hospital inclusion </w:t>
      </w:r>
      <w:r w:rsidRPr="00BB4781">
        <w:rPr>
          <w:sz w:val="20"/>
          <w:szCs w:val="20"/>
        </w:rPr>
        <w:t>criteria?</w:t>
      </w:r>
    </w:p>
    <w:p w:rsidR="00BA7E07" w:rsidRPr="00BB4781" w:rsidRDefault="00BA7E07" w:rsidP="00BA7E07">
      <w:pPr>
        <w:rPr>
          <w:sz w:val="20"/>
          <w:szCs w:val="20"/>
        </w:rPr>
      </w:pPr>
    </w:p>
    <w:p w:rsidR="00BA7E07" w:rsidRPr="00BB4781" w:rsidRDefault="00BA7E07" w:rsidP="00BA7E07">
      <w:pPr>
        <w:ind w:left="360"/>
        <w:rPr>
          <w:b/>
          <w:sz w:val="20"/>
          <w:szCs w:val="20"/>
        </w:rPr>
      </w:pPr>
      <w:r w:rsidRPr="00BB4781">
        <w:rPr>
          <w:b/>
          <w:sz w:val="20"/>
          <w:szCs w:val="20"/>
        </w:rPr>
        <w:t>ADDITIONAL NOTES:</w:t>
      </w:r>
    </w:p>
    <w:p w:rsidR="00BA7E07" w:rsidRPr="00BB4781" w:rsidRDefault="00BA7E07" w:rsidP="00BA7E07">
      <w:pPr>
        <w:ind w:left="360"/>
        <w:rPr>
          <w:sz w:val="20"/>
          <w:szCs w:val="20"/>
        </w:rPr>
      </w:pPr>
    </w:p>
    <w:p w:rsidR="00BA7E07" w:rsidRPr="00BB4781" w:rsidRDefault="00BA7E07" w:rsidP="00BA7E07">
      <w:pPr>
        <w:pStyle w:val="ListParagraph"/>
        <w:numPr>
          <w:ilvl w:val="0"/>
          <w:numId w:val="6"/>
        </w:numPr>
        <w:ind w:left="1440"/>
        <w:rPr>
          <w:sz w:val="20"/>
          <w:szCs w:val="20"/>
        </w:rPr>
      </w:pPr>
      <w:r w:rsidRPr="00BB4781">
        <w:rPr>
          <w:sz w:val="20"/>
          <w:szCs w:val="20"/>
        </w:rPr>
        <w:t xml:space="preserve">The patient </w:t>
      </w:r>
      <w:r w:rsidRPr="00BB4781">
        <w:rPr>
          <w:sz w:val="20"/>
          <w:szCs w:val="20"/>
        </w:rPr>
        <w:t>registry</w:t>
      </w:r>
      <w:r w:rsidRPr="00BB4781">
        <w:rPr>
          <w:sz w:val="20"/>
          <w:szCs w:val="20"/>
        </w:rPr>
        <w:t xml:space="preserve"> includes all patients ADMITTED to hospitalization and includes those admitted for observation, including patients who have been admitted for less than 23 hours.</w:t>
      </w:r>
    </w:p>
    <w:p w:rsidR="00BA7E07" w:rsidRPr="00BB4781" w:rsidRDefault="00BA7E07" w:rsidP="00BA7E07">
      <w:pPr>
        <w:ind w:left="720"/>
        <w:rPr>
          <w:sz w:val="20"/>
          <w:szCs w:val="20"/>
        </w:rPr>
      </w:pPr>
    </w:p>
    <w:p w:rsidR="00BA7E07" w:rsidRPr="00BB4781" w:rsidRDefault="00BA7E07" w:rsidP="00BA7E07">
      <w:pPr>
        <w:pStyle w:val="ListParagraph"/>
        <w:numPr>
          <w:ilvl w:val="0"/>
          <w:numId w:val="6"/>
        </w:numPr>
        <w:ind w:left="1440"/>
        <w:rPr>
          <w:sz w:val="20"/>
          <w:szCs w:val="20"/>
        </w:rPr>
      </w:pPr>
      <w:r w:rsidRPr="00BB4781">
        <w:rPr>
          <w:sz w:val="20"/>
          <w:szCs w:val="20"/>
        </w:rPr>
        <w:t>This does not include patients who are under observation in the Emergency unless such patients are in the emergency because there is no bed available in the hospital.</w:t>
      </w:r>
    </w:p>
    <w:p w:rsidR="00BA7E07" w:rsidRPr="00BB4781" w:rsidRDefault="00BA7E07" w:rsidP="00BA7E07">
      <w:pPr>
        <w:ind w:left="720"/>
        <w:rPr>
          <w:sz w:val="20"/>
          <w:szCs w:val="20"/>
        </w:rPr>
      </w:pPr>
    </w:p>
    <w:p w:rsidR="00BA7E07" w:rsidRPr="00BB4781" w:rsidRDefault="00BA7E07" w:rsidP="00BA7E07">
      <w:pPr>
        <w:pStyle w:val="ListParagraph"/>
        <w:numPr>
          <w:ilvl w:val="0"/>
          <w:numId w:val="6"/>
        </w:numPr>
        <w:ind w:left="1440"/>
        <w:rPr>
          <w:sz w:val="20"/>
          <w:szCs w:val="20"/>
        </w:rPr>
      </w:pPr>
      <w:r w:rsidRPr="00BB4781">
        <w:rPr>
          <w:sz w:val="20"/>
          <w:szCs w:val="20"/>
        </w:rPr>
        <w:t>Patients who are not admitted to hospital should not be registered.</w:t>
      </w:r>
    </w:p>
    <w:p w:rsidR="00BA7E07" w:rsidRPr="00BB4781" w:rsidRDefault="00BA7E07" w:rsidP="00BA7E07">
      <w:pPr>
        <w:ind w:left="720"/>
        <w:rPr>
          <w:sz w:val="20"/>
          <w:szCs w:val="20"/>
        </w:rPr>
      </w:pPr>
    </w:p>
    <w:p w:rsidR="00BA7E07" w:rsidRPr="00BB4781" w:rsidRDefault="00BA7E07" w:rsidP="00BA7E07">
      <w:pPr>
        <w:pStyle w:val="ListParagraph"/>
        <w:numPr>
          <w:ilvl w:val="0"/>
          <w:numId w:val="6"/>
        </w:numPr>
        <w:kinsoku w:val="0"/>
        <w:overflowPunct w:val="0"/>
        <w:ind w:left="1440"/>
        <w:rPr>
          <w:sz w:val="20"/>
          <w:szCs w:val="20"/>
        </w:rPr>
      </w:pPr>
      <w:r w:rsidRPr="00BB4781">
        <w:rPr>
          <w:sz w:val="20"/>
          <w:szCs w:val="20"/>
        </w:rPr>
        <w:t>In addition, patients with admissions and trauma diagnosis codes (mentioned in item 1) should be included as secondary diagnoses.</w:t>
      </w:r>
    </w:p>
    <w:sectPr w:rsidR="00BA7E07" w:rsidRPr="00BB4781">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B4781">
    <w:pPr>
      <w:pStyle w:val="BodyText"/>
      <w:kinsoku w:val="0"/>
      <w:overflowPunct w:val="0"/>
      <w:spacing w:before="0" w:line="14" w:lineRule="auto"/>
      <w:ind w:left="0" w:firstLine="0"/>
      <w:rPr>
        <w:rFonts w:ascii="Times New Roman" w:hAnsi="Times New Roman" w:cs="Times New Roman"/>
        <w:sz w:val="2"/>
        <w:szCs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4E6"/>
    <w:multiLevelType w:val="hybridMultilevel"/>
    <w:tmpl w:val="C51AEA88"/>
    <w:lvl w:ilvl="0" w:tplc="300A0003">
      <w:start w:val="1"/>
      <w:numFmt w:val="bullet"/>
      <w:lvlText w:val="o"/>
      <w:lvlJc w:val="left"/>
      <w:pPr>
        <w:ind w:left="1440" w:hanging="360"/>
      </w:pPr>
      <w:rPr>
        <w:rFonts w:ascii="Courier New" w:hAnsi="Courier New" w:cs="Courier New"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1" w15:restartNumberingAfterBreak="0">
    <w:nsid w:val="05983707"/>
    <w:multiLevelType w:val="hybridMultilevel"/>
    <w:tmpl w:val="AEE89F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4CF0F04"/>
    <w:multiLevelType w:val="hybridMultilevel"/>
    <w:tmpl w:val="67802EBC"/>
    <w:lvl w:ilvl="0" w:tplc="300A0003">
      <w:start w:val="1"/>
      <w:numFmt w:val="bullet"/>
      <w:lvlText w:val="o"/>
      <w:lvlJc w:val="left"/>
      <w:pPr>
        <w:ind w:left="1440" w:hanging="360"/>
      </w:pPr>
      <w:rPr>
        <w:rFonts w:ascii="Courier New" w:hAnsi="Courier New" w:cs="Courier New"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3" w15:restartNumberingAfterBreak="0">
    <w:nsid w:val="200771F5"/>
    <w:multiLevelType w:val="hybridMultilevel"/>
    <w:tmpl w:val="279AC72A"/>
    <w:lvl w:ilvl="0" w:tplc="300A0003">
      <w:start w:val="1"/>
      <w:numFmt w:val="bullet"/>
      <w:lvlText w:val="o"/>
      <w:lvlJc w:val="left"/>
      <w:pPr>
        <w:ind w:left="1440" w:hanging="360"/>
      </w:pPr>
      <w:rPr>
        <w:rFonts w:ascii="Courier New" w:hAnsi="Courier New" w:cs="Courier New"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 w15:restartNumberingAfterBreak="0">
    <w:nsid w:val="3C47205E"/>
    <w:multiLevelType w:val="hybridMultilevel"/>
    <w:tmpl w:val="E800D93A"/>
    <w:lvl w:ilvl="0" w:tplc="300A0003">
      <w:start w:val="1"/>
      <w:numFmt w:val="bullet"/>
      <w:lvlText w:val="o"/>
      <w:lvlJc w:val="left"/>
      <w:pPr>
        <w:ind w:left="1080" w:hanging="360"/>
      </w:pPr>
      <w:rPr>
        <w:rFonts w:ascii="Courier New" w:hAnsi="Courier New" w:cs="Courier New"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5" w15:restartNumberingAfterBreak="0">
    <w:nsid w:val="615724F4"/>
    <w:multiLevelType w:val="hybridMultilevel"/>
    <w:tmpl w:val="D6B2E4F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E07"/>
    <w:rsid w:val="0002536C"/>
    <w:rsid w:val="00033B33"/>
    <w:rsid w:val="00043D8B"/>
    <w:rsid w:val="000442B6"/>
    <w:rsid w:val="00050017"/>
    <w:rsid w:val="0005373F"/>
    <w:rsid w:val="000720E2"/>
    <w:rsid w:val="000B32D9"/>
    <w:rsid w:val="000F67A1"/>
    <w:rsid w:val="001308B6"/>
    <w:rsid w:val="001C2FA0"/>
    <w:rsid w:val="001D6926"/>
    <w:rsid w:val="001D757B"/>
    <w:rsid w:val="001F1E9E"/>
    <w:rsid w:val="00206237"/>
    <w:rsid w:val="00217A18"/>
    <w:rsid w:val="002527D7"/>
    <w:rsid w:val="00273DE9"/>
    <w:rsid w:val="00274240"/>
    <w:rsid w:val="002824F0"/>
    <w:rsid w:val="002856E5"/>
    <w:rsid w:val="002E6D54"/>
    <w:rsid w:val="002F4325"/>
    <w:rsid w:val="003121DC"/>
    <w:rsid w:val="00326BDF"/>
    <w:rsid w:val="00371F11"/>
    <w:rsid w:val="0039612A"/>
    <w:rsid w:val="003C1C9F"/>
    <w:rsid w:val="003F305F"/>
    <w:rsid w:val="00413A9B"/>
    <w:rsid w:val="00422B6D"/>
    <w:rsid w:val="00424DC3"/>
    <w:rsid w:val="00425296"/>
    <w:rsid w:val="00432B45"/>
    <w:rsid w:val="00443225"/>
    <w:rsid w:val="004613A2"/>
    <w:rsid w:val="00484638"/>
    <w:rsid w:val="004866E9"/>
    <w:rsid w:val="0049278A"/>
    <w:rsid w:val="004A1B08"/>
    <w:rsid w:val="004E5750"/>
    <w:rsid w:val="005339B8"/>
    <w:rsid w:val="0055244C"/>
    <w:rsid w:val="00573EF9"/>
    <w:rsid w:val="005823C8"/>
    <w:rsid w:val="00583019"/>
    <w:rsid w:val="00595A99"/>
    <w:rsid w:val="005B03D4"/>
    <w:rsid w:val="005C0BA1"/>
    <w:rsid w:val="005E20D8"/>
    <w:rsid w:val="005E4D52"/>
    <w:rsid w:val="006249E8"/>
    <w:rsid w:val="006265AE"/>
    <w:rsid w:val="006521B7"/>
    <w:rsid w:val="0067418C"/>
    <w:rsid w:val="0068204F"/>
    <w:rsid w:val="0068471F"/>
    <w:rsid w:val="00686C7C"/>
    <w:rsid w:val="00694444"/>
    <w:rsid w:val="006B4BB4"/>
    <w:rsid w:val="006C1B99"/>
    <w:rsid w:val="006C3D58"/>
    <w:rsid w:val="006C6E64"/>
    <w:rsid w:val="007303A4"/>
    <w:rsid w:val="00737806"/>
    <w:rsid w:val="00752725"/>
    <w:rsid w:val="00770C0D"/>
    <w:rsid w:val="00793C35"/>
    <w:rsid w:val="007A04CB"/>
    <w:rsid w:val="007B28B8"/>
    <w:rsid w:val="007B644B"/>
    <w:rsid w:val="007C4388"/>
    <w:rsid w:val="007C79ED"/>
    <w:rsid w:val="0081513C"/>
    <w:rsid w:val="008309A7"/>
    <w:rsid w:val="00844FAE"/>
    <w:rsid w:val="00872371"/>
    <w:rsid w:val="008A0B71"/>
    <w:rsid w:val="008C6BF3"/>
    <w:rsid w:val="008D1C62"/>
    <w:rsid w:val="008E2E60"/>
    <w:rsid w:val="008E3163"/>
    <w:rsid w:val="008E4662"/>
    <w:rsid w:val="008E4CFA"/>
    <w:rsid w:val="00910E73"/>
    <w:rsid w:val="00911BEE"/>
    <w:rsid w:val="0091468B"/>
    <w:rsid w:val="00921D6D"/>
    <w:rsid w:val="009323DB"/>
    <w:rsid w:val="00945C47"/>
    <w:rsid w:val="00955C42"/>
    <w:rsid w:val="00965E9B"/>
    <w:rsid w:val="0099523D"/>
    <w:rsid w:val="009B56AB"/>
    <w:rsid w:val="009D368D"/>
    <w:rsid w:val="009F7512"/>
    <w:rsid w:val="00A5034E"/>
    <w:rsid w:val="00A6067B"/>
    <w:rsid w:val="00A732DA"/>
    <w:rsid w:val="00AB5DBE"/>
    <w:rsid w:val="00B129B0"/>
    <w:rsid w:val="00B2019C"/>
    <w:rsid w:val="00B2039E"/>
    <w:rsid w:val="00B27098"/>
    <w:rsid w:val="00B50922"/>
    <w:rsid w:val="00B52D79"/>
    <w:rsid w:val="00B81341"/>
    <w:rsid w:val="00B952B7"/>
    <w:rsid w:val="00B97817"/>
    <w:rsid w:val="00BA7E07"/>
    <w:rsid w:val="00BB1C6F"/>
    <w:rsid w:val="00BB4781"/>
    <w:rsid w:val="00BD14F8"/>
    <w:rsid w:val="00BE2D39"/>
    <w:rsid w:val="00BF6DB4"/>
    <w:rsid w:val="00C03A3B"/>
    <w:rsid w:val="00C045FB"/>
    <w:rsid w:val="00C21377"/>
    <w:rsid w:val="00C358AB"/>
    <w:rsid w:val="00C467F5"/>
    <w:rsid w:val="00C566ED"/>
    <w:rsid w:val="00C676F2"/>
    <w:rsid w:val="00CA13DE"/>
    <w:rsid w:val="00D1006A"/>
    <w:rsid w:val="00D117F7"/>
    <w:rsid w:val="00D77F77"/>
    <w:rsid w:val="00D83A7B"/>
    <w:rsid w:val="00D94F43"/>
    <w:rsid w:val="00DB731F"/>
    <w:rsid w:val="00DE67D7"/>
    <w:rsid w:val="00E05079"/>
    <w:rsid w:val="00E16A76"/>
    <w:rsid w:val="00E278DE"/>
    <w:rsid w:val="00E27B03"/>
    <w:rsid w:val="00E409FD"/>
    <w:rsid w:val="00E51CB7"/>
    <w:rsid w:val="00E6379B"/>
    <w:rsid w:val="00E64A57"/>
    <w:rsid w:val="00E75B2F"/>
    <w:rsid w:val="00EB0426"/>
    <w:rsid w:val="00ED4046"/>
    <w:rsid w:val="00ED5A0E"/>
    <w:rsid w:val="00EE35F3"/>
    <w:rsid w:val="00F00C66"/>
    <w:rsid w:val="00F05556"/>
    <w:rsid w:val="00F50186"/>
    <w:rsid w:val="00F600F5"/>
    <w:rsid w:val="00FB3747"/>
    <w:rsid w:val="00FC662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A8F3A-8563-4B40-9397-9F67E069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7E07"/>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s-EC"/>
    </w:rPr>
  </w:style>
  <w:style w:type="paragraph" w:styleId="Heading2">
    <w:name w:val="heading 2"/>
    <w:basedOn w:val="Normal"/>
    <w:next w:val="Normal"/>
    <w:link w:val="Heading2Char"/>
    <w:uiPriority w:val="1"/>
    <w:qFormat/>
    <w:rsid w:val="00BA7E07"/>
    <w:pPr>
      <w:spacing w:before="80"/>
      <w:ind w:left="1357" w:hanging="3225"/>
      <w:outlineLvl w:val="1"/>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7E07"/>
    <w:rPr>
      <w:rFonts w:ascii="Calibri" w:eastAsiaTheme="minorEastAsia" w:hAnsi="Calibri" w:cs="Calibri"/>
      <w:b/>
      <w:bCs/>
      <w:lang w:eastAsia="es-EC"/>
    </w:rPr>
  </w:style>
  <w:style w:type="paragraph" w:styleId="ListParagraph">
    <w:name w:val="List Paragraph"/>
    <w:basedOn w:val="Normal"/>
    <w:uiPriority w:val="34"/>
    <w:qFormat/>
    <w:rsid w:val="00BA7E07"/>
    <w:pPr>
      <w:ind w:left="720"/>
      <w:contextualSpacing/>
    </w:pPr>
  </w:style>
  <w:style w:type="paragraph" w:styleId="BodyText">
    <w:name w:val="Body Text"/>
    <w:basedOn w:val="Normal"/>
    <w:link w:val="BodyTextChar"/>
    <w:uiPriority w:val="1"/>
    <w:qFormat/>
    <w:rsid w:val="00BA7E07"/>
    <w:pPr>
      <w:spacing w:before="40"/>
      <w:ind w:left="1188" w:hanging="358"/>
    </w:pPr>
    <w:rPr>
      <w:rFonts w:ascii="Calibri" w:hAnsi="Calibri" w:cs="Calibri"/>
      <w:sz w:val="22"/>
      <w:szCs w:val="22"/>
    </w:rPr>
  </w:style>
  <w:style w:type="character" w:customStyle="1" w:styleId="BodyTextChar">
    <w:name w:val="Body Text Char"/>
    <w:basedOn w:val="DefaultParagraphFont"/>
    <w:link w:val="BodyText"/>
    <w:uiPriority w:val="1"/>
    <w:rsid w:val="00BA7E07"/>
    <w:rPr>
      <w:rFonts w:ascii="Calibri" w:eastAsiaTheme="minorEastAsia" w:hAnsi="Calibri" w:cs="Calibri"/>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403</Words>
  <Characters>2363</Characters>
  <Application>Microsoft Office Word</Application>
  <DocSecurity>0</DocSecurity>
  <Lines>76</Lines>
  <Paragraphs>25</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V. Mata</dc:creator>
  <cp:keywords/>
  <dc:description/>
  <cp:lastModifiedBy>Lina V. Mata</cp:lastModifiedBy>
  <cp:revision>1</cp:revision>
  <dcterms:created xsi:type="dcterms:W3CDTF">2017-05-11T14:50:00Z</dcterms:created>
  <dcterms:modified xsi:type="dcterms:W3CDTF">2017-05-11T15:09:00Z</dcterms:modified>
</cp:coreProperties>
</file>